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6b8189"/>
          <w:sz w:val="20"/>
          <w:szCs w:val="20"/>
          <w:rtl w:val="0"/>
        </w:rPr>
        <w:t xml:space="preserve">PREFEITURA MUNICIPAL DE MACEIÓ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8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6b8189"/>
          <w:sz w:val="20"/>
          <w:szCs w:val="20"/>
          <w:rtl w:val="0"/>
        </w:rPr>
        <w:t xml:space="preserve">Instituto de Pesquisa, Planejamento e Licenciamento Urbano e Ambiental — IPLAM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9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40"/>
          <w:szCs w:val="40"/>
          <w:rtl w:val="0"/>
        </w:rPr>
        <w:t xml:space="preserve">QUADRO-SÍNTESE DE MEDIDAS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2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3c5259"/>
          <w:sz w:val="20"/>
          <w:szCs w:val="20"/>
          <w:rtl w:val="0"/>
        </w:rPr>
        <w:t xml:space="preserve">Anexo obrigatório do Estudo de Impacto de Vizinhança · art. 9º da IN EIV/RIV IPLAM nº 004/2026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IDENTIFICAÇÃO DO PROCESSO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Empreendimento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Proponente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Nº do processo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6"/>
                <w:szCs w:val="16"/>
                <w:rtl w:val="0"/>
              </w:rPr>
              <w:t xml:space="preserve">informe o número do processo administrativo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técnico pelo EIV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6"/>
                <w:szCs w:val="16"/>
                <w:rtl w:val="0"/>
              </w:rPr>
              <w:t xml:space="preserve">nome, profissão e registro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ART ou RRT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spacing w:after="130" w:before="3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Como preencher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5ead2" w:val="clear"/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52227"/>
          <w:sz w:val="20"/>
          <w:szCs w:val="20"/>
          <w:rtl w:val="0"/>
        </w:rPr>
        <w:t xml:space="preserve">ESTE DOCUMENTO É PEÇA DE APOIO. A peça que se protocola é o Quadro-Síntese em planilha (Modelo_Quadro_Sintese_EIV.xlsx), que calcula a classificação legal e o grau, confere a coerência de cada linha e é a forma que o sistema da Comissão importa. Use estas fichas para redigir e discutir internamente; havendo divergência entre os dois arquivos, prevalece a planilha.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Quem preenche é o proponente, com a sua equipe técnica responsável pelo EIV, com ART ou RRT (art. 3º, III, da IN). O Quadro-Síntese é peça do estudo; acolhida a medida pela CTP-EIV, ela passa a integrar o TCAC — Termo de Compromisso de Atenuação e Compensação e torna-se exigível a partir da assinatura (art. 24, § 7º, e art. 26).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Este documento tem duas partes. O quadro de conferência relaciona os 44 critérios do Anexo II, na ordem do rol, para que se registre, critério a critério, o tipo de impacto declarado e se há medida vinculada. As fichas trazem, uma por medida, os catorze incisos do parágrafo único do art. 9º. A ordem dos campos na ficha não é a da numeração dos incisos: o tipo de impacto (XIII) vem junto da etapa e do meio afetado, porque os três qualificam o mesmo impacto. Confira sempre pelo número do inciso indicado ao lado de cada campo, não pela posição.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152227"/>
          <w:sz w:val="20"/>
          <w:szCs w:val="20"/>
          <w:rtl w:val="0"/>
        </w:rPr>
        <w:t xml:space="preserve">Nenhum critério do Anexo II pode ser suprimido do quadro, ainda que o impacto seja inexistente: a exclusão de linha é vedada pelo item 3.2 do Anexo, e a ausência caracteriza inobservância da estrutura do Termo de Referência para os efeitos do art. 19, inciso II — inadmissibilidade.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spacing w:after="13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3"/>
          <w:szCs w:val="23"/>
          <w:rtl w:val="0"/>
        </w:rPr>
        <w:t xml:space="preserve">O que a Comissão verifica em cada medida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Nexo de causalidade com o impacto a que se vincula; suficiência em relação a esse impacto; proporcionalidade; exequibilidade do prazo e do marco; verificabilidade do indicador. A manifestação é individualizada e motivada, na forma do art. 24, § 6º: acolhimento integral, acolhimento com ajustes ou rejeição. Medida rejeitada não integra o TCAC.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spacing w:after="13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3"/>
          <w:szCs w:val="23"/>
          <w:rtl w:val="0"/>
        </w:rPr>
        <w:t xml:space="preserve">Compensação e esgotamento da atenuação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A compensação incide sobre o impacto residual, depois da atenuação. Enquanto não houver, para o mesmo impacto, declaração de esgotamento da atenuação ou de não atenuabilidade técnica (inciso XII), a cobertura por compensação fica limitada a 30% (TR, item 6.3, XIV). Com a declaração justificada, alcança o residual integral.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after="13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3"/>
          <w:szCs w:val="23"/>
          <w:rtl w:val="0"/>
        </w:rPr>
        <w:t xml:space="preserve">Graus de atenuação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Baixa 25%; moderada 50%; alta 75%; integral 100% (art. 9º, parágrafo único, XIV). O grau declarado é a redução que a medida promete sobre o impacto ao qual se vincula, e é ele que a Comissão confronta com a memória de cálculo e com o indicador de verificação.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spacing w:after="130" w:before="3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Parte I — Conferência dos 44 critérios do 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19"/>
          <w:szCs w:val="19"/>
          <w:rtl w:val="0"/>
        </w:rPr>
        <w:t xml:space="preserve">Registre, para cada critério, o tipo de impacto declarado na matriz do estudo, se há medida vinculada e o número da ficha correspondente. Critério com impacto negativo e sem medida é fundamento de indeferimento ou de reformulação (art. 24, § 1º, III).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00"/>
        <w:gridCol w:w="4700"/>
        <w:gridCol w:w="1480"/>
        <w:gridCol w:w="1180"/>
        <w:gridCol w:w="1200"/>
        <w:tblGridChange w:id="0">
          <w:tblGrid>
            <w:gridCol w:w="800"/>
            <w:gridCol w:w="4700"/>
            <w:gridCol w:w="1480"/>
            <w:gridCol w:w="1180"/>
            <w:gridCol w:w="120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Critério do Anexo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Tipo de impacto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Há medida?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Ficha nº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dcedee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 — Adensamento Populacional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Acréscimo de população fixa e flutuante na Área de Influência Direta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Alteração do perfil demográfico local — moradores, usuários, trabalhadores ou frequentadores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Capacidade de suporte da infraestrutura urbana existente frente ao adensamento gerado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dcedee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 — Equipamentos Urbanos e Comunitários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 sistema de abastecimento de água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 sistema de energia elétrica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 sistema de esgotamento sanitário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 sistema de drenagem urbana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a coleta e a destinação de resíduos sólidos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os equipamentos e serviços de saúde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os equipamentos e serviços de educação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os equipamentos e serviços de assistência social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os equipamentos e serviços de segurança pública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os equipamentos e serviços de cultura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Demanda sobre as áreas verdes e de lazer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dcedee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III — Uso e Ocupação do Solo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Compatibilidade com os usos existentes e previstos no entorno e conflitos de uso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Aumento da impermeabilização do solo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Efeitos sobre a morfologia urbana, os padrões construtivos, o gabarito, a taxa de ocupação e o coeficiente de aproveitamento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8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III.4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Efeitos sobre a dinâmica de usos e atividades econômicas do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dcedee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IV — Valorização Imobiliária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IV.1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Efeitos sobre a dinâmica imobiliária local e sobre os valores dos imóveis nas áreas de influência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9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IV.2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Pressão sobre o mercado habitacional, risco de segregação socioespacial e de deslocamento involuntário de moradores e de atividades econômicas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dcedee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 — Mobilidade Urbana, Geração de Tráfego e Demanda por Transporte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Capacidade do sistema viário e variação do nível de serviço nas vias de acesso e interseções críticas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A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Sinalização viária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Segurança viária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Vagas de estacionamento público e operações de embarque, desembarque, carga e descarga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B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Oferta, frequência e qualidade do transporte público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Infraestrutura de transporte público — abrigos de passageiros e faixas exclusivas de transporte coletivo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Condições, dimensão e continuidade dos passeios públicos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C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Condições de acessibilidade universal no entorno imediato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Circulação cicloviária — ciclovias e ciclofaixas existentes ou previstas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Condição da pavimentação das vias de acesso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V.11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Iluminação pública e mobiliário urbano do espaço público lindeiro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D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dcedee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 — Conforto Ambiental — Térmico, Lumínico e Acústico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7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Interferência na ventilação natural do entorno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Sombreamento e interferência na iluminação natural de edificações e espaços públicos lindeiros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E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Contribuição para a formação de ilhas de calor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6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Geração ou intensificação de ruídos urbanos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Vibração, periculosidade e demais agentes ambientais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0F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Iluminação artificial em área de influência da orla e da restinga — risco à desova de tartarugas marinhas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dcedee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 — Paisagem Urbana e Patrimônio Natural e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VII.1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Inserção volumétrica e interferência na paisagem urbana, incluída a poluição visual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0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VII.2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Fruição visual e integração do empreendimento com o espaço público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4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VII.3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Fruição pública e permeabilidade do pavimento térreo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Arborização urbana e vegetação existente nas áreas de influência, incluída eventual supressão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VII.5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1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Bens tombados, em processo de tombamento, inventariados ou de interesse de preservação, e respectivas ambiências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VII.6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Patrimônio natural costeiro — dunas, mangues, restinga e demais elementos da paisagem natural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a4c53"/>
                <w:sz w:val="16"/>
                <w:szCs w:val="16"/>
                <w:rtl w:val="0"/>
              </w:rPr>
              <w:t xml:space="preserve">VII.7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color w:val="152227"/>
                <w:sz w:val="16"/>
                <w:szCs w:val="16"/>
                <w:rtl w:val="0"/>
              </w:rPr>
              <w:t xml:space="preserve">Acesso público às praias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2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Style w:val="Heading1"/>
        <w:spacing w:after="130" w:before="3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Parte II — Fichas de medida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19"/>
          <w:szCs w:val="19"/>
          <w:rtl w:val="0"/>
        </w:rPr>
        <w:t xml:space="preserve">Uma ficha por medida.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152227"/>
          <w:sz w:val="19"/>
          <w:szCs w:val="19"/>
          <w:rtl w:val="0"/>
        </w:rPr>
        <w:t xml:space="preserve">O número da ficha é a chave de ligação com a coluna “Ficha nº” do quadro de conferência: ficha repetida ou número pulado desfaz o vínculo.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Style w:val="Heading2"/>
        <w:spacing w:after="13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3"/>
          <w:szCs w:val="23"/>
          <w:rtl w:val="0"/>
        </w:rPr>
        <w:t xml:space="preserve">Ficha preenchida — exemplo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8189"/>
          <w:sz w:val="18"/>
          <w:szCs w:val="18"/>
          <w:rtl w:val="0"/>
        </w:rPr>
        <w:t xml:space="preserve">Apague esta ficha antes de protocolar. Ela mostra o grau de detalhe que a Comissão espera em cada campo.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00 (exemplo)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V.1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Operação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Antrópico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Negativo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Redução do nível de serviço de B para D na interseção da via coletora de acesso, nos picos da manhã e da tarde, conforme contagem classificada de 12/2025.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3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Requalificação geométrica do acesso, com baia de embarque e desembarque fora da faixa de rolamento e realinhamento do meio-fio em 40 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Atenuante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Atenuante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Av. Exemplo, entre 9.245.120 N / 198.430 E e 9.245.080 N / 198.465 E (SIRGAS 2000, UTM 25 S).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Proponente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Médio prazo (3 a 12 meses)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Executada e aceita pelo DMTT antes da emissão do habite-se.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R$ 184.000,00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4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40 m de meio-fio a R$ 380/m; 180 m² de pavimento a R$ 620/m²; sinalização conforme planilha SINAPI 07/2026, anexa.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Nova contagem classificada nos mesmos pontos e horários, 90 dias após o habite-se, com relatório ao DMTT; nível de serviço igual ou melhor que 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[EXEMPLO] Manutenção do nível de serviço C na interseção após a ocupação integral.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Não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3c5259"/>
                <w:sz w:val="16"/>
                <w:szCs w:val="16"/>
                <w:rtl w:val="0"/>
              </w:rPr>
              <w:t xml:space="preserve">Moderada (50%)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pStyle w:val="Heading2"/>
        <w:spacing w:after="13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a4c53"/>
          <w:sz w:val="23"/>
          <w:szCs w:val="23"/>
          <w:rtl w:val="0"/>
        </w:rPr>
        <w:t xml:space="preserve">Fichas em branco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5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6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7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8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9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A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B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C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D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E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1F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0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1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2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3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4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5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6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5860"/>
        <w:tblGridChange w:id="0">
          <w:tblGrid>
            <w:gridCol w:w="3500"/>
            <w:gridCol w:w="5860"/>
          </w:tblGrid>
        </w:tblGridChange>
      </w:tblGrid>
      <w:tr>
        <w:trPr>
          <w:cantSplit w:val="0"/>
          <w:tblHeader w:val="1"/>
        </w:trPr>
        <w:tc>
          <w:tcPr>
            <w:gridSpan w:val="2"/>
            <w:tcBorders>
              <w:top w:color="0e6a73" w:space="0" w:sz="6" w:val="single"/>
              <w:left w:color="0e6a73" w:space="0" w:sz="6" w:val="single"/>
              <w:bottom w:color="0e6a73" w:space="0" w:sz="6" w:val="single"/>
              <w:right w:color="0e6a73" w:space="0" w:sz="6" w:val="single"/>
            </w:tcBorders>
            <w:shd w:fill="0e6a73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7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FICHA DE MEDIDA Nº 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Critério vinculado (Anexo II)  (o número do critério, reproduzido sem alteração — a numeração do rol não se altera (Anexo II, item 3.2))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Etapa de ocorrência do impacto  (I)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implantação · operação · implantação e operação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Meio afetado  (II)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físico · biótico · antrópico · não se aplica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impacto  (XIII)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positivo · negativo · inexistente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Impacto ao qual a medida se vincula  (III)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descreva o impacto, não a medida — é aqui que se afere o nexo de causalidade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Medida de adequação proposta  (IV)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será executado, em termos verificáveis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Tipo de medida  (TR, item 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compatibilizadora · atenuante · compensatória · potencializadora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8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Classificação legal  (V)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NÃO PREENCHA À MÃO: decorre do tipo declarado acima — compensatória permanece compensatória; compatibilizadora e atenuante são atenuantes; potencializadora não recebe classificação legal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Localização georreferenciada da medida  (VI)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coordenadas em SIRGAS 2000, UTM fuso 25 S, ou trecho delimitado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Responsável pela execução  (VII)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proponente · poder público · proponente e poder público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Prazo de execução  (VIII)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imediato (até 30 dias) · curto prazo (até 90 dias) · médio prazo (3 a 12 meses) · longo prazo (1 a 2 anos) · contínuo ou permanente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7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Marco verificável vinculado  (TR, item 6.5)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8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evento da obra a que o prazo se prende — ex.: antes da emissão do habite-se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9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Custo estimado (R$)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A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B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Memória de cálculo do custo  (IX)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C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quantitativos, preços unitários e a fonte de referência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D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Indicador de verificação e forma de monitoramento  (X)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E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mede, com que método, com que periodicidade e a quem se reporta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9F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Resultados previstos  (XI)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A0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 que se espera que mude, em termos aferíveis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A1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Declaração de esgotamento da atenuação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A2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sim, a atenuação foi esgotada · sim, impacto tecnicamente não atenuável · não — a resposta “não” limita a compensação a 30% do residual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A3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Justificativa da declaração  (XII)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A4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obrigatória quando a declaração for afirmativa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shd w:fill="f7faf9" w:val="clear"/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A5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c5259"/>
                <w:sz w:val="16"/>
                <w:szCs w:val="16"/>
                <w:rtl w:val="0"/>
              </w:rPr>
              <w:t xml:space="preserve">Grau da medida  (XIV)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5dfdd" w:space="0" w:sz="4" w:val="single"/>
              <w:left w:color="d5dfdd" w:space="0" w:sz="4" w:val="single"/>
              <w:bottom w:color="d5dfdd" w:space="0" w:sz="4" w:val="single"/>
              <w:right w:color="d5dfdd" w:space="0" w:sz="4" w:val="single"/>
            </w:tcBorders>
            <w:tcMar>
              <w:top w:w="70.0" w:type="dxa"/>
              <w:left w:w="120.0" w:type="dxa"/>
              <w:bottom w:w="70.0" w:type="dxa"/>
              <w:right w:w="120.0" w:type="dxa"/>
            </w:tcMar>
          </w:tcPr>
          <w:p w:rsidR="00000000" w:rsidDel="00000000" w:rsidP="00000000" w:rsidRDefault="00000000" w:rsidRPr="00000000" w14:paraId="000002A6">
            <w:pPr>
              <w:spacing w:after="0" w:lineRule="auto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8189"/>
                <w:sz w:val="15"/>
                <w:szCs w:val="15"/>
                <w:rtl w:val="0"/>
              </w:rPr>
              <w:t xml:space="preserve">escala fechada, art. 9º, p.ú., XIV: baixa 25% · moderada 50% · alta 75% · integral 100%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pStyle w:val="Heading1"/>
        <w:spacing w:after="130" w:before="3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e6a73"/>
          <w:sz w:val="28"/>
          <w:szCs w:val="28"/>
          <w:rtl w:val="0"/>
        </w:rPr>
        <w:t xml:space="preserve">Declaração e 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152227"/>
          <w:sz w:val="20"/>
          <w:szCs w:val="20"/>
          <w:rtl w:val="0"/>
        </w:rPr>
        <w:t xml:space="preserve">Declaro, sob as penas da lei, que as informações deste Quadro-Síntese correspondem ao Estudo de Impacto de Vizinhança a que se anexa, que as medidas propostas guardam nexo com os impactos identificados e que os custos e prazos declarados são exequíveis.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c525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9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A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3c5259"/>
                <w:sz w:val="17"/>
                <w:szCs w:val="17"/>
                <w:rtl w:val="0"/>
              </w:rPr>
              <w:t xml:space="preserve">Responsável técnico pelo EIV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8189"/>
                <w:sz w:val="15"/>
                <w:szCs w:val="15"/>
                <w:rtl w:val="0"/>
              </w:rPr>
              <w:t xml:space="preserve">nome, registro profissional e ART ou RRT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c5259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90.0" w:type="dxa"/>
              <w:left w:w="120.0" w:type="dxa"/>
              <w:bottom w:w="0.0" w:type="dxa"/>
              <w:right w:w="120.0" w:type="dxa"/>
            </w:tcMar>
          </w:tcPr>
          <w:p w:rsidR="00000000" w:rsidDel="00000000" w:rsidP="00000000" w:rsidRDefault="00000000" w:rsidRPr="00000000" w14:paraId="000002A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3c5259"/>
                <w:sz w:val="17"/>
                <w:szCs w:val="17"/>
                <w:rtl w:val="0"/>
              </w:rPr>
              <w:t xml:space="preserve">Proponente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color w:val="6b8189"/>
                <w:sz w:val="15"/>
                <w:szCs w:val="15"/>
                <w:rtl w:val="0"/>
              </w:rPr>
              <w:t xml:space="preserve">representante legal e CNPJ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spacing w:after="12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color w:val="6b8189"/>
          <w:sz w:val="17"/>
          <w:szCs w:val="17"/>
          <w:rtl w:val="0"/>
        </w:rPr>
        <w:t xml:space="preserve">Base normativa: Instrução Normativa EIV/RIV IPLAM nº 004/2026, art. 9º e parágrafo único, art. 24 e art. 26; Anexo I (Termo de Referência), itens 6.1, 6.3 e 6.5; Anexo II (Rol de Critérios de Avaliação de Impacto), itens 3.2 e 3.3.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276" w:top="1418" w:left="1276" w:right="127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5">
    <w:pPr>
      <w:jc w:val="right"/>
      <w:rPr/>
    </w:pPr>
    <w:r w:rsidDel="00000000" w:rsidR="00000000" w:rsidRPr="00000000">
      <w:rPr>
        <w:rFonts w:ascii="Arial" w:cs="Arial" w:eastAsia="Arial" w:hAnsi="Arial"/>
        <w:color w:val="6b818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B4">
    <w:pPr>
      <w:pBdr>
        <w:bottom w:color="d5dfdd" w:space="0" w:sz="4" w:val="single"/>
      </w:pBdr>
      <w:spacing w:after="60" w:lineRule="auto"/>
      <w:rPr/>
    </w:pPr>
    <w:r w:rsidDel="00000000" w:rsidR="00000000" w:rsidRPr="00000000">
      <w:rPr>
        <w:rFonts w:ascii="Arial" w:cs="Arial" w:eastAsia="Arial" w:hAnsi="Arial"/>
        <w:color w:val="6b8189"/>
        <w:sz w:val="16"/>
        <w:szCs w:val="16"/>
        <w:rtl w:val="0"/>
      </w:rPr>
      <w:t xml:space="preserve">Quadro-Síntese de Medidas · IPLAM · Maceió/AL · IN EIV/RIV nº 004/2026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52227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e6a73"/>
      <w:sz w:val="28"/>
      <w:szCs w:val="2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a4c53"/>
      <w:sz w:val="23"/>
      <w:szCs w:val="23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52227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